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rap="auto" w:vAnchor="margin" w:hAnchor="text" w:yAlign="inline"/>
        <w:widowControl/>
        <w:jc w:val="center"/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</w:pPr>
      <w:r>
        <w:rPr>
          <w:rStyle w:val="8"/>
          <w:color w:val="000000" w:themeColor="text1"/>
          <w:sz w:val="28"/>
          <w:szCs w:val="28"/>
        </w:rPr>
        <w:pict>
          <v:shape id="officeArt object" o:spid="_x0000_s1026" o:spt="202" alt="文本框 7" type="#_x0000_t202" style="position:absolute;left:0pt;margin-left:0.45pt;margin-top:-3.8pt;height:35.35pt;width:65.35pt;mso-position-vertical-relative:line;z-index:251660288;mso-width-relative:page;mso-height-relative:page;" filled="f" stroked="f" coordsize="21600,21600" o:gfxdata="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3nEzNYAAAAGAQAADwAAAAAAAAABACAA&#10;AAAiAAAAZHJzL2Rvd25yZXYueG1sUEsBAhQAFAAAAAgAh07iQBGZ1rUPAgAADwQAAA4AAAAAAAAA&#10;AQAgAAAAJQEAAGRycy9lMm9Eb2MueG1sUEsFBgAAAAAGAAYAWQEAAKYFAAAAAA==&#10;">
            <v:path/>
            <v:fill on="f" focussize="0,0"/>
            <v:stroke on="f" weight="1pt" miterlimit="4"/>
            <v:imagedata o:title=""/>
            <o:lock v:ext="edit"/>
            <v:textbox inset="3.59968503937008pt,3.59968503937008pt,3.59968503937008pt,3.59968503937008pt">
              <w:txbxContent>
                <w:p>
                  <w:pPr>
                    <w:rPr>
                      <w:rFonts w:hint="eastAsia"/>
                      <w:lang w:val="en-US" w:eastAsia="zh-CN"/>
                    </w:rPr>
                  </w:pPr>
                </w:p>
              </w:txbxContent>
            </v:textbox>
          </v:shape>
        </w:pict>
      </w: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eastAsia="zh-CN"/>
        </w:rPr>
        <w:t>附件一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  <w:t>202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</w:rPr>
        <w:t>2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贵州企业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  <w:t>100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强、民营企业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  <w:t>100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强、制造业企业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</w:rPr>
        <w:t>100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强、服务业企业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</w:rPr>
        <w:t>100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强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CN"/>
        </w:rPr>
        <w:t>、贵州成长之星企业</w:t>
      </w:r>
      <w:r>
        <w:rPr>
          <w:rStyle w:val="8"/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zh-TW" w:eastAsia="zh-TW"/>
        </w:rPr>
        <w:t>申报表</w:t>
      </w:r>
    </w:p>
    <w:p>
      <w:pPr>
        <w:framePr w:wrap="auto" w:vAnchor="margin" w:hAnchor="text" w:yAlign="inline"/>
        <w:widowControl/>
        <w:spacing w:line="300" w:lineRule="exact"/>
        <w:jc w:val="center"/>
        <w:rPr>
          <w:rStyle w:val="8"/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tbl>
      <w:tblPr>
        <w:tblStyle w:val="5"/>
        <w:tblW w:w="10017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9"/>
        <w:gridCol w:w="465"/>
        <w:gridCol w:w="237"/>
        <w:gridCol w:w="685"/>
        <w:gridCol w:w="754"/>
        <w:gridCol w:w="219"/>
        <w:gridCol w:w="1231"/>
        <w:gridCol w:w="157"/>
        <w:gridCol w:w="119"/>
        <w:gridCol w:w="375"/>
        <w:gridCol w:w="651"/>
        <w:gridCol w:w="249"/>
        <w:gridCol w:w="450"/>
        <w:gridCol w:w="645"/>
        <w:gridCol w:w="693"/>
        <w:gridCol w:w="169"/>
        <w:gridCol w:w="157"/>
        <w:gridCol w:w="1152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企业名称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（中文全称）</w:t>
            </w:r>
          </w:p>
        </w:tc>
        <w:tc>
          <w:tcPr>
            <w:tcW w:w="3540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企业性质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国有及国有控股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23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3540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民 营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注册地址</w:t>
            </w:r>
          </w:p>
        </w:tc>
        <w:tc>
          <w:tcPr>
            <w:tcW w:w="35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ind w:firstLine="840" w:firstLineChars="30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市（州） 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县（区）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电子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信箱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通讯地址</w:t>
            </w:r>
          </w:p>
        </w:tc>
        <w:tc>
          <w:tcPr>
            <w:tcW w:w="48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邮政编码</w:t>
            </w:r>
          </w:p>
        </w:tc>
        <w:tc>
          <w:tcPr>
            <w:tcW w:w="14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姓 名</w:t>
            </w: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职务（部门）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电 话 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手 机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传  真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法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代表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CN"/>
              </w:rPr>
              <w:t>人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主要负责人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活动联系人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3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数据填报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联系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</w:t>
            </w:r>
          </w:p>
        </w:tc>
        <w:tc>
          <w:tcPr>
            <w:tcW w:w="14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21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9" w:hRule="atLeast"/>
          <w:jc w:val="center"/>
        </w:trPr>
        <w:tc>
          <w:tcPr>
            <w:tcW w:w="1001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指标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（万元）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营业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收入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净利润  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资产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总额</w:t>
            </w: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所有者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权益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工业（服务业）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增加值</w:t>
            </w: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净 资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 额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固定资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产投资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1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指标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（万元）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纳税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总额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当年研发投入 </w:t>
            </w: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单位生产总值能耗（吨标煤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/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万元）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新产品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销售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收入</w:t>
            </w: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当年新增就业人数（人）</w:t>
            </w: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员工</w:t>
            </w:r>
          </w:p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总数（人）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企业员工人均年工资收入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20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9" w:hRule="atLeast"/>
          <w:jc w:val="center"/>
        </w:trPr>
        <w:tc>
          <w:tcPr>
            <w:tcW w:w="2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4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</w:t>
            </w:r>
          </w:p>
        </w:tc>
        <w:tc>
          <w:tcPr>
            <w:tcW w:w="9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5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55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主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要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产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品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或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服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val="zh-TW" w:eastAsia="zh-TW"/>
              </w:rPr>
              <w:t>务</w:t>
            </w:r>
          </w:p>
        </w:tc>
        <w:tc>
          <w:tcPr>
            <w:tcW w:w="8408" w:type="dxa"/>
            <w:gridSpan w:val="1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  <w:jc w:val="center"/>
        </w:trPr>
        <w:tc>
          <w:tcPr>
            <w:tcW w:w="16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  <w:tc>
          <w:tcPr>
            <w:tcW w:w="8408" w:type="dxa"/>
            <w:gridSpan w:val="1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2" w:hRule="atLeast"/>
          <w:jc w:val="center"/>
        </w:trPr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业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其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他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信</w:t>
            </w:r>
          </w:p>
          <w:p>
            <w:pPr>
              <w:framePr w:wrap="auto" w:vAnchor="margin" w:hAnchor="text" w:yAlign="inline"/>
              <w:widowControl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息</w:t>
            </w:r>
          </w:p>
        </w:tc>
        <w:tc>
          <w:tcPr>
            <w:tcW w:w="8408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、依据第一主营业务，本企业属于：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A.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制造业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B.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服务业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 C.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采掘业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D.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建筑业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  E.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其它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□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。请选择其中一项在框内打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“√”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、在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年是否并购或重组了其他企业？如果是，共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家。</w:t>
            </w:r>
          </w:p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3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年底，本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企业现有全资和控股子公司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家，参股子公司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家，分公司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家。</w:t>
            </w:r>
          </w:p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4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年底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/>
              </w:rPr>
              <w:t>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本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企业具有中级、高级技术职称人员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人。占员工总数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 %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5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本企业研究开发人员数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人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/>
              </w:rPr>
              <w:t>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共拥有专利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___项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。其中，发明专利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___项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。</w:t>
            </w:r>
          </w:p>
          <w:p>
            <w:pPr>
              <w:framePr w:wrap="auto" w:vAnchor="margin" w:hAnchor="text" w:yAlign="inline"/>
              <w:widowControl/>
              <w:spacing w:line="360" w:lineRule="exact"/>
              <w:ind w:firstLine="561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6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、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截至202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1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年底，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本企业参与形成的国家或行业标准数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项。其中国家标准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项、行业标准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>___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项。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4" w:hRule="atLeast"/>
          <w:jc w:val="center"/>
        </w:trPr>
        <w:tc>
          <w:tcPr>
            <w:tcW w:w="5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法定代表人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（签字）：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申报企业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（盖章）：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      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年  月  日 </w:t>
            </w:r>
          </w:p>
        </w:tc>
        <w:tc>
          <w:tcPr>
            <w:tcW w:w="4817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wrap="auto" w:vAnchor="margin" w:hAnchor="text" w:yAlign="inline"/>
              <w:widowControl/>
              <w:spacing w:line="400" w:lineRule="exact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 xml:space="preserve"> 以上申报指标数据属实。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ind w:firstLine="56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主管财务负责人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（签字）：</w:t>
            </w: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Style w:val="8"/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</w:p>
          <w:p>
            <w:pPr>
              <w:framePr w:wrap="auto" w:vAnchor="margin" w:hAnchor="text" w:yAlign="inline"/>
              <w:widowControl/>
              <w:spacing w:line="400" w:lineRule="exact"/>
              <w:ind w:firstLine="480"/>
              <w:rPr>
                <w:rFonts w:ascii="仿宋" w:hAnsi="仿宋" w:eastAsia="仿宋" w:cs="仿宋"/>
                <w:color w:val="000000" w:themeColor="text1"/>
                <w:sz w:val="28"/>
                <w:szCs w:val="28"/>
              </w:rPr>
            </w:pP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</w:rPr>
              <w:t xml:space="preserve">          202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en-US" w:eastAsia="zh-CN"/>
              </w:rPr>
              <w:t>2</w:t>
            </w:r>
            <w:r>
              <w:rPr>
                <w:rStyle w:val="8"/>
                <w:rFonts w:hint="eastAsia" w:ascii="仿宋" w:hAnsi="仿宋" w:eastAsia="仿宋" w:cs="仿宋"/>
                <w:color w:val="000000" w:themeColor="text1"/>
                <w:sz w:val="28"/>
                <w:szCs w:val="28"/>
                <w:lang w:val="zh-TW" w:eastAsia="zh-TW"/>
              </w:rPr>
              <w:t>年  月  日</w:t>
            </w:r>
          </w:p>
        </w:tc>
      </w:tr>
    </w:tbl>
    <w:p>
      <w:pPr>
        <w:framePr w:wrap="auto" w:vAnchor="margin" w:hAnchor="text" w:yAlign="inline"/>
        <w:ind w:left="108" w:hanging="108"/>
        <w:jc w:val="center"/>
        <w:rPr>
          <w:rStyle w:val="8"/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CN"/>
        </w:rPr>
        <w:t>贵州省企业联合会百强企业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</w:rPr>
        <w:t>排序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eastAsia="zh-CN"/>
        </w:rPr>
        <w:t>发布</w:t>
      </w:r>
      <w:r>
        <w:rPr>
          <w:rStyle w:val="8"/>
          <w:rFonts w:hint="eastAsia" w:ascii="楷体" w:hAnsi="楷体" w:eastAsia="楷体" w:cs="楷体"/>
          <w:color w:val="000000" w:themeColor="text1"/>
          <w:sz w:val="28"/>
          <w:szCs w:val="28"/>
          <w:lang w:val="zh-CN"/>
        </w:rPr>
        <w:t>办公室制表</w:t>
      </w:r>
    </w:p>
    <w:p>
      <w:pPr>
        <w:framePr w:wrap="auto" w:vAnchor="margin" w:hAnchor="text" w:yAlign="inline"/>
        <w:widowControl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</w:p>
    <w:p>
      <w:pPr>
        <w:framePr w:wrap="auto" w:vAnchor="margin" w:hAnchor="text" w:yAlign="inline"/>
        <w:widowControl/>
        <w:spacing w:line="600" w:lineRule="exact"/>
        <w:jc w:val="center"/>
        <w:rPr>
          <w:rStyle w:val="8"/>
          <w:rFonts w:hint="eastAsia" w:ascii="宋体" w:hAnsi="宋体" w:eastAsia="宋体" w:cs="宋体"/>
          <w:color w:val="000000" w:themeColor="text1"/>
          <w:sz w:val="32"/>
          <w:szCs w:val="32"/>
          <w:lang w:val="zh-TW" w:eastAsia="zh-TW"/>
        </w:rPr>
      </w:pPr>
      <w:r>
        <w:rPr>
          <w:rStyle w:val="8"/>
          <w:color w:val="000000" w:themeColor="text1"/>
          <w:sz w:val="32"/>
          <w:szCs w:val="32"/>
        </w:rPr>
        <w:pict>
          <v:shape id="_x0000_s1027" o:spid="_x0000_s1027" o:spt="202" alt="文本框 6" type="#_x0000_t202" style="position:absolute;left:0pt;margin-left:-7.35pt;margin-top:19.2pt;height:35.35pt;width:65.35pt;mso-position-vertical-relative:line;z-index:251661312;mso-width-relative:page;mso-height-relative:page;" filled="f" stroked="f" coordsize="21600,21600" o:gfxdata="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3EcwXaAAAACgEAAA8AAAAAAAAA&#10;AQAgAAAAIgAAAGRycy9kb3ducmV2LnhtbFBLAQIUABQAAAAIAIdO4kBmz3c5DwIAAA8EAAAOAAAA&#10;AAAAAAEAIAAAACkBAABkcnMvZTJvRG9jLnhtbFBLBQYAAAAABgAGAFkBAACqBQAAAAA=&#10;">
            <v:path/>
            <v:fill on="f" focussize="0,0"/>
            <v:stroke on="f" weight="1pt" miterlimit="4"/>
            <v:imagedata o:title=""/>
            <o:lock v:ext="edit"/>
            <v:textbox inset="3.59968503937008pt,3.59968503937008pt,3.59968503937008pt,3.59968503937008pt">
              <w:txbxContent>
                <w:p>
                  <w:r>
                    <w:rPr>
                      <w:rStyle w:val="8"/>
                      <w:rFonts w:ascii="黑体" w:hAnsi="黑体" w:eastAsia="黑体" w:cs="黑体"/>
                      <w:sz w:val="32"/>
                      <w:szCs w:val="32"/>
                      <w:lang w:val="zh-TW" w:eastAsia="zh-TW"/>
                    </w:rPr>
                    <w:t>附件</w:t>
                  </w:r>
                  <w:r>
                    <w:rPr>
                      <w:rStyle w:val="8"/>
                      <w:rFonts w:hint="eastAsia" w:ascii="黑体" w:hAnsi="黑体" w:eastAsia="黑体" w:cs="黑体"/>
                      <w:sz w:val="32"/>
                      <w:szCs w:val="32"/>
                      <w:lang w:val="zh-TW" w:eastAsia="zh-CN"/>
                    </w:rPr>
                    <w:t>二</w:t>
                  </w:r>
                </w:p>
              </w:txbxContent>
            </v:textbox>
          </v:shape>
        </w:pict>
      </w:r>
      <w:r>
        <w:rPr>
          <w:rStyle w:val="8"/>
          <w:rFonts w:hint="eastAsia" w:ascii="宋体" w:hAnsi="宋体" w:eastAsia="宋体" w:cs="宋体"/>
          <w:color w:val="000000" w:themeColor="text1"/>
          <w:sz w:val="32"/>
          <w:szCs w:val="32"/>
          <w:lang w:val="zh-TW" w:eastAsia="zh-TW"/>
        </w:rPr>
        <w:t>填 表 说 明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一、企业性质：请从“国有及国有控股”、“民营”两种性质中选一项打“√”。民营是指集体和私有企业（包括合资企业）。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二、主要产品或服务：指企业生产的主要产品或提供的主要服务，按在营业收入的占比由大到小排列，最多不超过3项（必须填写）。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三、主要指标：如属集团公司，其指标均按企业合并会计报表的数据填报。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营业收入：不含增值税收入，包括企业的所有收入，即主营业务收入和非主营业务收入。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净利润：上交所得税后的净利润。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资产总额：年末的资产总额。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所有者权益：年末所有者权益总额。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净资产额：年末的净资产额。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纳税总额：包括增值税、消费税、营业税、企业所得税以及其他各税种税收。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  <w:lang w:val="zh-TW" w:eastAsia="zh-TW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当年研发投入：指企业研究开发新产品、新技术、新工艺所发生的各项费用，包括新产品设计费、工艺规程制定费、设备调整费、原材料和半成品的实验费、技术图书资料费、研究机构人员的工资、研究设备的折旧、新产品的试制、技术研究有关的其它经费以及委托其他单位进行科研试制的费用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工业（服务业）增加值：指企业生产过程中新增加的价值。为企业生产的总成果扣除在生产过程中消耗或转移的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"http://baike.baidu.com/view/281428.htm"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10"/>
          <w:rFonts w:hint="eastAsia"/>
          <w:color w:val="000000" w:themeColor="text1"/>
          <w:sz w:val="28"/>
          <w:szCs w:val="28"/>
        </w:rPr>
        <w:t>物质产品</w:t>
      </w:r>
      <w:r>
        <w:rPr>
          <w:rStyle w:val="10"/>
          <w:rFonts w:hint="eastAsia"/>
          <w:color w:val="000000" w:themeColor="text1"/>
          <w:sz w:val="28"/>
          <w:szCs w:val="28"/>
        </w:rPr>
        <w:fldChar w:fldCharType="end"/>
      </w:r>
      <w:r>
        <w:rPr>
          <w:rStyle w:val="10"/>
          <w:rFonts w:hint="eastAsia"/>
          <w:color w:val="000000" w:themeColor="text1"/>
          <w:sz w:val="28"/>
          <w:szCs w:val="28"/>
        </w:rPr>
        <w:t>和</w:t>
      </w:r>
      <w:r>
        <w:rPr>
          <w:color w:val="000000" w:themeColor="text1"/>
          <w:sz w:val="28"/>
          <w:szCs w:val="28"/>
        </w:rPr>
        <w:fldChar w:fldCharType="begin"/>
      </w:r>
      <w:r>
        <w:rPr>
          <w:color w:val="000000" w:themeColor="text1"/>
          <w:sz w:val="28"/>
          <w:szCs w:val="28"/>
        </w:rPr>
        <w:instrText xml:space="preserve"> HYPERLINK "http://baike.baidu.com/view/964001.htm" </w:instrText>
      </w:r>
      <w:r>
        <w:rPr>
          <w:color w:val="000000" w:themeColor="text1"/>
          <w:sz w:val="28"/>
          <w:szCs w:val="28"/>
        </w:rPr>
        <w:fldChar w:fldCharType="separate"/>
      </w:r>
      <w:r>
        <w:rPr>
          <w:rStyle w:val="10"/>
          <w:rFonts w:hint="eastAsia"/>
          <w:color w:val="000000" w:themeColor="text1"/>
          <w:sz w:val="28"/>
          <w:szCs w:val="28"/>
        </w:rPr>
        <w:t>劳务价值</w:t>
      </w:r>
      <w:r>
        <w:rPr>
          <w:rStyle w:val="10"/>
          <w:rFonts w:hint="eastAsia"/>
          <w:color w:val="000000" w:themeColor="text1"/>
          <w:sz w:val="28"/>
          <w:szCs w:val="28"/>
        </w:rPr>
        <w:fldChar w:fldCharType="end"/>
      </w:r>
      <w:r>
        <w:rPr>
          <w:rStyle w:val="10"/>
          <w:rFonts w:hint="eastAsia"/>
          <w:color w:val="000000" w:themeColor="text1"/>
          <w:sz w:val="28"/>
          <w:szCs w:val="28"/>
        </w:rPr>
        <w:t>后的余额。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单位生产总值能耗：指企业万元生产总值所使用的能源（换算为吨标煤）。计算方法：单位生产总值能耗=能源消费总量/生产总值。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当年新增就业人数：指企业</w:t>
      </w:r>
      <w:r>
        <w:rPr>
          <w:rStyle w:val="10"/>
          <w:rFonts w:hint="eastAsia"/>
          <w:color w:val="000000" w:themeColor="text1"/>
          <w:sz w:val="28"/>
          <w:szCs w:val="28"/>
          <w:lang w:eastAsia="zh-CN"/>
        </w:rPr>
        <w:t>202</w:t>
      </w:r>
      <w:r>
        <w:rPr>
          <w:rStyle w:val="10"/>
          <w:rFonts w:hint="eastAsia"/>
          <w:color w:val="000000" w:themeColor="text1"/>
          <w:sz w:val="28"/>
          <w:szCs w:val="28"/>
          <w:lang w:val="en-US" w:eastAsia="zh-CN"/>
        </w:rPr>
        <w:t>1</w:t>
      </w:r>
      <w:r>
        <w:rPr>
          <w:rStyle w:val="10"/>
          <w:rFonts w:hint="eastAsia"/>
          <w:color w:val="000000" w:themeColor="text1"/>
          <w:sz w:val="28"/>
          <w:szCs w:val="28"/>
        </w:rPr>
        <w:t>年新吸纳招收的员工。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10"/>
          <w:color w:val="000000" w:themeColor="text1"/>
          <w:sz w:val="28"/>
          <w:szCs w:val="28"/>
        </w:rPr>
      </w:pPr>
      <w:r>
        <w:rPr>
          <w:rStyle w:val="10"/>
          <w:rFonts w:hint="eastAsia"/>
          <w:color w:val="000000" w:themeColor="text1"/>
          <w:sz w:val="28"/>
          <w:szCs w:val="28"/>
        </w:rPr>
        <w:t>员工总数：年度的企业平均人数（含所有被合并报表企业的人数包括劳务派遣人员）。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Style w:val="8"/>
          <w:rFonts w:hint="eastAsia" w:ascii="仿宋" w:hAnsi="仿宋" w:eastAsia="仿宋" w:cs="仿宋"/>
          <w:color w:val="000000" w:themeColor="text1"/>
          <w:sz w:val="28"/>
          <w:szCs w:val="28"/>
          <w:lang w:val="zh-TW" w:eastAsia="zh-TW"/>
        </w:rPr>
        <w:t>企业员工人均年工资收入（</w:t>
      </w:r>
      <w:r>
        <w:rPr>
          <w:rStyle w:val="10"/>
          <w:rFonts w:hint="eastAsia"/>
          <w:color w:val="000000" w:themeColor="text1"/>
          <w:sz w:val="28"/>
          <w:szCs w:val="28"/>
        </w:rPr>
        <w:t>年度的企业平均员工总数的人均年工资收入）等。</w:t>
      </w: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spacing w:line="600" w:lineRule="exact"/>
        <w:ind w:firstLine="640"/>
        <w:rPr>
          <w:rStyle w:val="8"/>
          <w:rFonts w:ascii="仿宋" w:hAnsi="仿宋" w:eastAsia="仿宋" w:cs="仿宋"/>
          <w:color w:val="000000" w:themeColor="text1"/>
          <w:sz w:val="28"/>
          <w:szCs w:val="28"/>
        </w:rPr>
      </w:pPr>
    </w:p>
    <w:p>
      <w:pPr>
        <w:framePr w:wrap="auto" w:vAnchor="margin" w:hAnchor="text" w:yAlign="inline"/>
        <w:widowControl/>
        <w:spacing w:line="600" w:lineRule="exact"/>
        <w:rPr>
          <w:rFonts w:ascii="仿宋" w:hAnsi="仿宋" w:eastAsia="仿宋" w:cs="仿宋"/>
          <w:sz w:val="28"/>
          <w:szCs w:val="28"/>
          <w:u w:val="single"/>
          <w:lang w:val="zh-TW" w:eastAsia="zh-TW"/>
        </w:rPr>
      </w:pPr>
    </w:p>
    <w:sectPr>
      <w:headerReference r:id="rId3" w:type="default"/>
      <w:footerReference r:id="rId4" w:type="default"/>
      <w:pgSz w:w="11900" w:h="16840"/>
      <w:pgMar w:top="1701" w:right="1531" w:bottom="1417" w:left="1531" w:header="851" w:footer="992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uto" w:vAnchor="margin" w:hAnchor="text" w:yAlign="inline"/>
      <w:jc w:val="center"/>
      <w:rPr>
        <w:rFonts w:hint="eastAsia" w:eastAsia="Arial Unicode MS"/>
        <w:lang w:val="en-US" w:eastAsia="zh-CN"/>
      </w:rPr>
    </w:pPr>
    <w:r>
      <w:rPr>
        <w:sz w:val="21"/>
        <w:lang w:val="en-US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Arial Unicode MS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uto" w:vAnchor="margin" w:hAnchor="text" w:yAlign="inli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rsids>
    <w:rsidRoot w:val="00996C24"/>
    <w:rsid w:val="005D4AF2"/>
    <w:rsid w:val="00996C24"/>
    <w:rsid w:val="00CC5A11"/>
    <w:rsid w:val="00EC5DE9"/>
    <w:rsid w:val="01EE3707"/>
    <w:rsid w:val="02FF5BE0"/>
    <w:rsid w:val="03805D86"/>
    <w:rsid w:val="03C43D4C"/>
    <w:rsid w:val="03D42D90"/>
    <w:rsid w:val="056E416A"/>
    <w:rsid w:val="07EF69C5"/>
    <w:rsid w:val="0AAF4DA1"/>
    <w:rsid w:val="0B3C7093"/>
    <w:rsid w:val="0C4D4B1A"/>
    <w:rsid w:val="0E6348C5"/>
    <w:rsid w:val="0F2C4F49"/>
    <w:rsid w:val="104C27F9"/>
    <w:rsid w:val="10943AAE"/>
    <w:rsid w:val="13AA230C"/>
    <w:rsid w:val="14C54B6C"/>
    <w:rsid w:val="16636AD1"/>
    <w:rsid w:val="16CE4C89"/>
    <w:rsid w:val="17373C31"/>
    <w:rsid w:val="19F73C9F"/>
    <w:rsid w:val="1ACB13F2"/>
    <w:rsid w:val="1B0C4DCF"/>
    <w:rsid w:val="1C014AD2"/>
    <w:rsid w:val="1C6B5AF3"/>
    <w:rsid w:val="1D2D23BA"/>
    <w:rsid w:val="1E9646DC"/>
    <w:rsid w:val="1EB32FE3"/>
    <w:rsid w:val="1F256E1F"/>
    <w:rsid w:val="1F9445F2"/>
    <w:rsid w:val="1FA30F28"/>
    <w:rsid w:val="20A9792B"/>
    <w:rsid w:val="21D66A40"/>
    <w:rsid w:val="227910F2"/>
    <w:rsid w:val="227E2B77"/>
    <w:rsid w:val="23B86D14"/>
    <w:rsid w:val="23EE3693"/>
    <w:rsid w:val="24EF5F8F"/>
    <w:rsid w:val="25E224A6"/>
    <w:rsid w:val="27011227"/>
    <w:rsid w:val="274C78ED"/>
    <w:rsid w:val="2BA734AB"/>
    <w:rsid w:val="2BF823A1"/>
    <w:rsid w:val="2C067B1F"/>
    <w:rsid w:val="2FA57EFD"/>
    <w:rsid w:val="30006A4E"/>
    <w:rsid w:val="326B4FBC"/>
    <w:rsid w:val="33557942"/>
    <w:rsid w:val="346C1029"/>
    <w:rsid w:val="356B20AA"/>
    <w:rsid w:val="39F45E2E"/>
    <w:rsid w:val="3C332EB2"/>
    <w:rsid w:val="3CB203A3"/>
    <w:rsid w:val="3D7F7566"/>
    <w:rsid w:val="3FB652BB"/>
    <w:rsid w:val="40895572"/>
    <w:rsid w:val="41313C80"/>
    <w:rsid w:val="420677E6"/>
    <w:rsid w:val="42836A12"/>
    <w:rsid w:val="43C83AD6"/>
    <w:rsid w:val="447654C4"/>
    <w:rsid w:val="4A5A310D"/>
    <w:rsid w:val="4A854D28"/>
    <w:rsid w:val="4A977F0C"/>
    <w:rsid w:val="4AB060E0"/>
    <w:rsid w:val="4B0A53A3"/>
    <w:rsid w:val="4B2B6ECC"/>
    <w:rsid w:val="4C2524DE"/>
    <w:rsid w:val="52705AE3"/>
    <w:rsid w:val="530030BC"/>
    <w:rsid w:val="549867F1"/>
    <w:rsid w:val="54F2351B"/>
    <w:rsid w:val="583164FF"/>
    <w:rsid w:val="58D57619"/>
    <w:rsid w:val="5AB74245"/>
    <w:rsid w:val="5B1B14D7"/>
    <w:rsid w:val="5C3642B4"/>
    <w:rsid w:val="5D5E5181"/>
    <w:rsid w:val="5D774C41"/>
    <w:rsid w:val="62BF5931"/>
    <w:rsid w:val="637751FC"/>
    <w:rsid w:val="63975A1A"/>
    <w:rsid w:val="63B429F9"/>
    <w:rsid w:val="65C83E6F"/>
    <w:rsid w:val="66BD65D7"/>
    <w:rsid w:val="66F560BD"/>
    <w:rsid w:val="680337C6"/>
    <w:rsid w:val="6875764B"/>
    <w:rsid w:val="688C6ADE"/>
    <w:rsid w:val="68B15062"/>
    <w:rsid w:val="69271ABB"/>
    <w:rsid w:val="6A6F5951"/>
    <w:rsid w:val="6AE31C5F"/>
    <w:rsid w:val="6C2D3BBF"/>
    <w:rsid w:val="6DAA3B40"/>
    <w:rsid w:val="6DBC14B7"/>
    <w:rsid w:val="6E5124CC"/>
    <w:rsid w:val="71722132"/>
    <w:rsid w:val="751332FE"/>
    <w:rsid w:val="75AB5806"/>
    <w:rsid w:val="75F83D0E"/>
    <w:rsid w:val="781D0517"/>
    <w:rsid w:val="7A7F3793"/>
    <w:rsid w:val="7C4A75EB"/>
    <w:rsid w:val="7F22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framePr w:wrap="around" w:vAnchor="margin" w:hAnchor="text" w:y="1"/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仿宋" w:hAnsi="仿宋" w:eastAsia="仿宋" w:cs="仿宋"/>
      <w:color w:val="0000FF"/>
      <w:kern w:val="2"/>
      <w:sz w:val="32"/>
      <w:szCs w:val="32"/>
      <w:u w:val="single" w:color="0000FF"/>
      <w:lang w:val="en-US"/>
    </w:rPr>
  </w:style>
  <w:style w:type="character" w:customStyle="1" w:styleId="10">
    <w:name w:val="Hyperlink.1"/>
    <w:basedOn w:val="8"/>
    <w:qFormat/>
    <w:uiPriority w:val="0"/>
    <w:rPr>
      <w:rFonts w:ascii="仿宋" w:hAnsi="仿宋" w:eastAsia="仿宋" w:cs="仿宋"/>
      <w:color w:val="000000"/>
      <w:kern w:val="2"/>
      <w:sz w:val="32"/>
      <w:szCs w:val="32"/>
      <w:u w:color="00000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516</Words>
  <Characters>2947</Characters>
  <Lines>24</Lines>
  <Paragraphs>6</Paragraphs>
  <ScaleCrop>false</ScaleCrop>
  <LinksUpToDate>false</LinksUpToDate>
  <CharactersWithSpaces>3457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2020-05-07T04:56:00Z</dcterms:created>
  <dc:creator>W-G</dc:creator>
  <cp:lastModifiedBy>Administrator</cp:lastModifiedBy>
  <cp:lastPrinted>2022-03-28T03:36:00Z</cp:lastPrinted>
  <dcterms:modified xsi:type="dcterms:W3CDTF">2022-05-05T02:17:29Z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  <property fmtid="{D5CDD505-2E9C-101B-9397-08002B2CF9AE}" pid="3" name="ICV">
    <vt:lpwstr>559975AAED614313A2FD5DFBA13F96AD</vt:lpwstr>
  </property>
</Properties>
</file>